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E" w:rsidRDefault="00BE3705">
      <w:r>
        <w:t>Systematic_Testing_</w:t>
      </w:r>
      <w:r w:rsidR="00527860">
        <w:t>of_Indicator_Part</w:t>
      </w:r>
      <w:r w:rsidR="00AC3079">
        <w:t>2</w:t>
      </w:r>
      <w:r w:rsidR="00527860">
        <w:t>_</w:t>
      </w:r>
      <w:r w:rsidR="00AC3079">
        <w:t>LongTerm_</w:t>
      </w:r>
      <w:r>
        <w:t>18111</w:t>
      </w:r>
      <w:r w:rsidR="00AC3079">
        <w:t>1</w:t>
      </w:r>
      <w:r>
        <w:t>TM</w:t>
      </w:r>
    </w:p>
    <w:p w:rsidR="00E41C49" w:rsidRDefault="00E41C49"/>
    <w:p w:rsidR="00E41C49" w:rsidRPr="00E41C49" w:rsidRDefault="00E41C49">
      <w:pPr>
        <w:rPr>
          <w:b/>
          <w:u w:val="single"/>
        </w:rPr>
      </w:pPr>
      <w:r w:rsidRPr="00E41C49">
        <w:rPr>
          <w:b/>
          <w:u w:val="single"/>
        </w:rPr>
        <w:t>PART 2:  LONG-TERM (ALIGNMENT) INDICATOR</w:t>
      </w:r>
    </w:p>
    <w:p w:rsidR="00BD1684" w:rsidRDefault="009D273F" w:rsidP="000149E1">
      <w:r>
        <w:t xml:space="preserve">A comprehensive unconventional indicator </w:t>
      </w:r>
      <w:r w:rsidR="009B10D5">
        <w:t>is currently being de</w:t>
      </w:r>
      <w:r w:rsidR="005A18E5">
        <w:t>veloped</w:t>
      </w:r>
      <w:r w:rsidR="009B10D5">
        <w:t xml:space="preserve"> </w:t>
      </w:r>
      <w:r>
        <w:t xml:space="preserve">to represent the application of the Apiary Alignment </w:t>
      </w:r>
      <w:r w:rsidR="005A18E5">
        <w:t>S</w:t>
      </w:r>
      <w:r>
        <w:t>trategy</w:t>
      </w:r>
      <w:r w:rsidR="00F55D65">
        <w:t xml:space="preserve"> </w:t>
      </w:r>
      <w:r w:rsidR="00081E7A">
        <w:t xml:space="preserve">combined with </w:t>
      </w:r>
      <w:r w:rsidR="00F55D65">
        <w:t xml:space="preserve">various other aspects of </w:t>
      </w:r>
      <w:r w:rsidR="009B10D5">
        <w:t>F</w:t>
      </w:r>
      <w:r w:rsidR="00F55D65">
        <w:t xml:space="preserve">ractal </w:t>
      </w:r>
      <w:r w:rsidR="009B10D5">
        <w:t>P</w:t>
      </w:r>
      <w:r w:rsidR="00F55D65">
        <w:t xml:space="preserve">rice </w:t>
      </w:r>
      <w:r w:rsidR="009B10D5">
        <w:t>B</w:t>
      </w:r>
      <w:r w:rsidR="00F55D65">
        <w:t>ehavior</w:t>
      </w:r>
      <w:r w:rsidR="009B10D5">
        <w:t>.</w:t>
      </w:r>
      <w:r w:rsidR="00081E7A">
        <w:t xml:space="preserve"> </w:t>
      </w:r>
      <w:r w:rsidR="009B10D5">
        <w:t xml:space="preserve">The design and testing of this indicator is being undertaken in two parts, the first of which </w:t>
      </w:r>
      <w:r w:rsidR="00BD1684">
        <w:t xml:space="preserve">was documented previously. </w:t>
      </w:r>
      <w:r w:rsidR="009B10D5">
        <w:t xml:space="preserve"> The second part, </w:t>
      </w:r>
      <w:r w:rsidR="00BD1684">
        <w:t xml:space="preserve">as documented here, </w:t>
      </w:r>
      <w:r w:rsidR="009B10D5">
        <w:t>cover</w:t>
      </w:r>
      <w:r w:rsidR="00BD1684">
        <w:t>s</w:t>
      </w:r>
      <w:r w:rsidR="009B10D5">
        <w:t xml:space="preserve"> periods of </w:t>
      </w:r>
      <w:r w:rsidR="00BD1684">
        <w:t xml:space="preserve">up to </w:t>
      </w:r>
      <w:r w:rsidR="00081E7A">
        <w:t>whichever is the lesser of the maximum amount of data available or 1</w:t>
      </w:r>
      <w:r w:rsidR="00BD1684">
        <w:t>6,000 bars</w:t>
      </w:r>
      <w:r w:rsidR="00081E7A">
        <w:t xml:space="preserve"> using a single timeframe.</w:t>
      </w:r>
      <w:r w:rsidR="00BD1684">
        <w:t xml:space="preserve">  </w:t>
      </w:r>
    </w:p>
    <w:p w:rsidR="00BD1684" w:rsidRDefault="009B10D5" w:rsidP="000149E1">
      <w:r>
        <w:t xml:space="preserve">The </w:t>
      </w:r>
      <w:r w:rsidR="00BD1684">
        <w:t>Long-T</w:t>
      </w:r>
      <w:r w:rsidR="00E41C49">
        <w:t>er</w:t>
      </w:r>
      <w:r w:rsidR="00BD1684">
        <w:t>m</w:t>
      </w:r>
      <w:r>
        <w:t xml:space="preserve"> part of the </w:t>
      </w:r>
      <w:r w:rsidR="00081E7A">
        <w:t xml:space="preserve">custom-designed </w:t>
      </w:r>
      <w:r>
        <w:t xml:space="preserve">indicator is described now. </w:t>
      </w:r>
      <w:r w:rsidR="00081E7A">
        <w:t xml:space="preserve"> I</w:t>
      </w:r>
      <w:r w:rsidR="009D273F">
        <w:t>ts logic</w:t>
      </w:r>
      <w:r w:rsidR="00081E7A">
        <w:t xml:space="preserve"> </w:t>
      </w:r>
      <w:r w:rsidR="009D273F">
        <w:t>included</w:t>
      </w:r>
      <w:r w:rsidR="00BD1684">
        <w:t>:</w:t>
      </w:r>
    </w:p>
    <w:p w:rsidR="00BD1684" w:rsidRDefault="00BD1684" w:rsidP="00BD1684">
      <w:pPr>
        <w:pStyle w:val="ListParagraph"/>
        <w:numPr>
          <w:ilvl w:val="0"/>
          <w:numId w:val="3"/>
        </w:numPr>
      </w:pPr>
      <w:r>
        <w:t>The direction of the prevailing trend</w:t>
      </w:r>
      <w:r>
        <w:t xml:space="preserve">, </w:t>
      </w:r>
      <w:r>
        <w:t>determined over each of a series of successively increasing time intervals</w:t>
      </w:r>
      <w:r>
        <w:t xml:space="preserve">, and then aggregated to give a measure of net trend direction and stability. </w:t>
      </w:r>
    </w:p>
    <w:p w:rsidR="00081E7A" w:rsidRDefault="00081E7A" w:rsidP="00081E7A">
      <w:pPr>
        <w:pStyle w:val="ListParagraph"/>
      </w:pPr>
    </w:p>
    <w:p w:rsidR="000149E1" w:rsidRDefault="00BD1684" w:rsidP="00BD1684">
      <w:pPr>
        <w:pStyle w:val="ListParagraph"/>
        <w:numPr>
          <w:ilvl w:val="0"/>
          <w:numId w:val="3"/>
        </w:numPr>
      </w:pPr>
      <w:r>
        <w:t xml:space="preserve">Momentum, as defined by trend slope normalized by ATR to allow compatibility over all financial securities, calculated for each interval. </w:t>
      </w:r>
    </w:p>
    <w:p w:rsidR="00081E7A" w:rsidRDefault="00081E7A" w:rsidP="00081E7A">
      <w:pPr>
        <w:pStyle w:val="ListParagraph"/>
      </w:pPr>
    </w:p>
    <w:p w:rsidR="007C4180" w:rsidRDefault="00BD1684" w:rsidP="00BD1684">
      <w:pPr>
        <w:pStyle w:val="ListParagraph"/>
        <w:numPr>
          <w:ilvl w:val="0"/>
          <w:numId w:val="3"/>
        </w:numPr>
      </w:pPr>
      <w:r>
        <w:t xml:space="preserve">R-squared = square of </w:t>
      </w:r>
      <w:r w:rsidR="007C4180">
        <w:t>the</w:t>
      </w:r>
      <w:r>
        <w:t xml:space="preserve"> correlation coefficient between price and a linear ramp, and as such a measure of “smoothness” of the trend slope</w:t>
      </w:r>
      <w:r w:rsidR="00081E7A">
        <w:t xml:space="preserve">. </w:t>
      </w:r>
    </w:p>
    <w:p w:rsidR="00081E7A" w:rsidRDefault="00081E7A" w:rsidP="00081E7A">
      <w:pPr>
        <w:pStyle w:val="ListParagraph"/>
      </w:pPr>
    </w:p>
    <w:p w:rsidR="00BD1684" w:rsidRDefault="00BD1684" w:rsidP="00BD1684">
      <w:pPr>
        <w:pStyle w:val="ListParagraph"/>
        <w:numPr>
          <w:ilvl w:val="0"/>
          <w:numId w:val="3"/>
        </w:numPr>
      </w:pPr>
      <w:r>
        <w:t xml:space="preserve">Momentum and R-squared </w:t>
      </w:r>
      <w:r w:rsidR="007C4180">
        <w:t>were</w:t>
      </w:r>
      <w:r>
        <w:t xml:space="preserve"> multiplied together to give a “roughness-adjusted” normalized slope for each of the considered periodicities, which </w:t>
      </w:r>
      <w:r w:rsidR="007C4180">
        <w:t>were</w:t>
      </w:r>
      <w:r>
        <w:t xml:space="preserve"> then averaged together to give an average value of Adjusted Slope. </w:t>
      </w:r>
    </w:p>
    <w:p w:rsidR="00081E7A" w:rsidRDefault="00081E7A" w:rsidP="00081E7A">
      <w:pPr>
        <w:pStyle w:val="ListParagraph"/>
      </w:pPr>
    </w:p>
    <w:p w:rsidR="007C4180" w:rsidRDefault="007C4180" w:rsidP="00BD1684">
      <w:pPr>
        <w:pStyle w:val="ListParagraph"/>
        <w:numPr>
          <w:ilvl w:val="0"/>
          <w:numId w:val="3"/>
        </w:numPr>
      </w:pPr>
      <w:r>
        <w:t xml:space="preserve">Where items a) and d) were consistent, the direction of both was determined and the individual direction components were aggregated for all of the time period sub-intervals. </w:t>
      </w:r>
    </w:p>
    <w:p w:rsidR="002719E1" w:rsidRDefault="002719E1" w:rsidP="002719E1">
      <w:pPr>
        <w:pStyle w:val="ListParagraph"/>
      </w:pPr>
    </w:p>
    <w:p w:rsidR="007C4180" w:rsidRDefault="007C4180" w:rsidP="00BD1684">
      <w:pPr>
        <w:pStyle w:val="ListParagraph"/>
        <w:numPr>
          <w:ilvl w:val="0"/>
          <w:numId w:val="3"/>
        </w:numPr>
      </w:pPr>
      <w:r>
        <w:t>The resulting direction and strength measures were then used to generate Buy / Sell / Hold signals.</w:t>
      </w:r>
    </w:p>
    <w:p w:rsidR="00E10E9F" w:rsidRDefault="007C4180" w:rsidP="00F55D65">
      <w:r>
        <w:t xml:space="preserve">This indicator provides one possible measure of “trend alignment” consistent with </w:t>
      </w:r>
      <w:r w:rsidR="00F55D65">
        <w:t>Apiary’s “Alignment Strategy”</w:t>
      </w:r>
      <w:r>
        <w:t xml:space="preserve">. Note that </w:t>
      </w:r>
      <w:r w:rsidR="00E10E9F">
        <w:t xml:space="preserve">a range of </w:t>
      </w:r>
      <w:r>
        <w:t xml:space="preserve">other </w:t>
      </w:r>
      <w:r w:rsidR="00E10E9F">
        <w:t xml:space="preserve">alternative </w:t>
      </w:r>
      <w:r>
        <w:t>indicator calculation methods are of course possible</w:t>
      </w:r>
      <w:r w:rsidR="00E10E9F">
        <w:t xml:space="preserve">. </w:t>
      </w:r>
    </w:p>
    <w:p w:rsidR="002D5E9F" w:rsidRDefault="00E10E9F" w:rsidP="00F55D65">
      <w:r>
        <w:t>As per the Part1 = Short Term component of the planned composite indicator, t</w:t>
      </w:r>
      <w:r w:rsidR="002D5E9F">
        <w:t xml:space="preserve">esting was based not only on </w:t>
      </w:r>
      <w:r w:rsidR="005A18E5">
        <w:t>FX pairs</w:t>
      </w:r>
      <w:r w:rsidR="002D5E9F">
        <w:t xml:space="preserve"> but also on other financial securities</w:t>
      </w:r>
      <w:r w:rsidR="002719E1">
        <w:t xml:space="preserve"> as well</w:t>
      </w:r>
      <w:r w:rsidR="002D5E9F">
        <w:t>, consistent with Stridsman’s concept that: “… whether a strategy is market specific or not, it is still a good idea to make sure that it works in as many markets as possible”. (Reference:  Thomas Stridsman, “Trading Systems That Work: Building and Evaluating Effective Trading Systems”, McGraw-Hill, 2001)</w:t>
      </w:r>
      <w:r w:rsidR="00F55D65">
        <w:t xml:space="preserve">. </w:t>
      </w:r>
    </w:p>
    <w:p w:rsidR="00F55D65" w:rsidRDefault="00F55D65" w:rsidP="00F55D65">
      <w:r>
        <w:t xml:space="preserve">The results obtained </w:t>
      </w:r>
      <w:r w:rsidR="00E10E9F">
        <w:t xml:space="preserve">for the Long-Term “Alignment” Indicator, as presented below, were found to be significantly different </w:t>
      </w:r>
      <w:r w:rsidR="002719E1">
        <w:t>and generally better c</w:t>
      </w:r>
      <w:r w:rsidR="00E10E9F">
        <w:t>ompared to those for the Short-Term component of the indicator that was described previously.</w:t>
      </w:r>
    </w:p>
    <w:p w:rsidR="00BE3705" w:rsidRDefault="00E10E9F" w:rsidP="00F55D65">
      <w:r>
        <w:t>As previously</w:t>
      </w:r>
      <w:r w:rsidR="00F55D65">
        <w:t>, t</w:t>
      </w:r>
      <w:r w:rsidR="00BE3705">
        <w:t>otal number of securities tested = 100, consisting of</w:t>
      </w:r>
      <w:r>
        <w:t xml:space="preserve"> </w:t>
      </w:r>
      <w:r w:rsidR="00B81A81">
        <w:t>exactly t</w:t>
      </w:r>
      <w:r>
        <w:t>he same s</w:t>
      </w:r>
      <w:r w:rsidR="004B5583">
        <w:t xml:space="preserve">election of </w:t>
      </w:r>
      <w:r w:rsidR="00BE3705">
        <w:t>50 stocks</w:t>
      </w:r>
      <w:r>
        <w:t>, 20 s</w:t>
      </w:r>
      <w:r w:rsidR="00BE3705">
        <w:t>tock market indices, 15 futures contracts,  and 15 FX currency pairs</w:t>
      </w:r>
      <w:r w:rsidR="002719E1">
        <w:t>.</w:t>
      </w:r>
      <w:r w:rsidR="00B81A81">
        <w:t xml:space="preserve">  </w:t>
      </w:r>
      <w:r w:rsidR="00BE3705">
        <w:t xml:space="preserve"> Each of these 100 </w:t>
      </w:r>
      <w:r w:rsidR="00BE3705">
        <w:lastRenderedPageBreak/>
        <w:t xml:space="preserve">securities was </w:t>
      </w:r>
      <w:r w:rsidR="00B81A81">
        <w:t>again</w:t>
      </w:r>
      <w:r w:rsidR="00F55D65">
        <w:t xml:space="preserve"> </w:t>
      </w:r>
      <w:r w:rsidR="00BE3705">
        <w:t>tested using two different variations of exit</w:t>
      </w:r>
      <w:r w:rsidR="002719E1">
        <w:t>s</w:t>
      </w:r>
      <w:r w:rsidR="005A18E5">
        <w:t xml:space="preserve"> using only indicator rules</w:t>
      </w:r>
      <w:r w:rsidR="002719E1">
        <w:t xml:space="preserve"> (not TP or other stops)</w:t>
      </w:r>
      <w:r w:rsidR="00B81A81">
        <w:t xml:space="preserve">. </w:t>
      </w:r>
      <w:r w:rsidR="007763E8">
        <w:t xml:space="preserve"> </w:t>
      </w:r>
      <w:r w:rsidR="00BE3705">
        <w:t xml:space="preserve"> </w:t>
      </w:r>
      <w:r w:rsidR="00F55D65">
        <w:t xml:space="preserve">Results were </w:t>
      </w:r>
      <w:r w:rsidR="00B81A81">
        <w:t xml:space="preserve">again </w:t>
      </w:r>
      <w:r w:rsidR="00F55D65">
        <w:t xml:space="preserve">defined as either “success” = profitable </w:t>
      </w:r>
      <w:r w:rsidR="005A18E5">
        <w:t>result</w:t>
      </w:r>
      <w:r w:rsidR="00B81A81">
        <w:t xml:space="preserve"> (e</w:t>
      </w:r>
      <w:r w:rsidR="00F55D65">
        <w:t>xcluding transaction costs</w:t>
      </w:r>
      <w:r w:rsidR="00B81A81">
        <w:t>)</w:t>
      </w:r>
      <w:r w:rsidR="00F55D65">
        <w:t xml:space="preserve">, or “unsuccessful” = un-profitable, i.e. loss-making. </w:t>
      </w:r>
      <w:r w:rsidR="007763E8">
        <w:t xml:space="preserve">The </w:t>
      </w:r>
      <w:r w:rsidR="002719E1">
        <w:t xml:space="preserve">current </w:t>
      </w:r>
      <w:r w:rsidR="007763E8">
        <w:t xml:space="preserve">results </w:t>
      </w:r>
      <w:r w:rsidR="00B81A81">
        <w:t xml:space="preserve">are </w:t>
      </w:r>
      <w:r w:rsidR="00F55D65">
        <w:t xml:space="preserve">summarized </w:t>
      </w:r>
      <w:r w:rsidR="00B81A81">
        <w:t>below</w:t>
      </w:r>
      <w:r w:rsidR="00BE3705">
        <w:t>.</w:t>
      </w:r>
    </w:p>
    <w:p w:rsidR="00BE3705" w:rsidRDefault="00BE3705">
      <w:r>
        <w:t xml:space="preserve">Stock Indices: success rate = </w:t>
      </w:r>
      <w:r w:rsidR="00B81A81">
        <w:t>9</w:t>
      </w:r>
      <w:r>
        <w:t>0%</w:t>
      </w:r>
      <w:r w:rsidR="00B81A81">
        <w:t xml:space="preserve"> (compared to 70-80% for the Short-Term indicator).</w:t>
      </w:r>
      <w:r>
        <w:t xml:space="preserve"> </w:t>
      </w:r>
    </w:p>
    <w:p w:rsidR="00B81A81" w:rsidRDefault="0023183C" w:rsidP="00B81A81">
      <w:r>
        <w:t>Stocks (US &amp; Aust)</w:t>
      </w:r>
      <w:r w:rsidR="00BE3705">
        <w:t xml:space="preserve">: success rate = </w:t>
      </w:r>
      <w:r w:rsidR="00B81A81">
        <w:t xml:space="preserve">72% to 94% (compared to </w:t>
      </w:r>
      <w:r>
        <w:t>58</w:t>
      </w:r>
      <w:r w:rsidR="00B81A81">
        <w:t>%</w:t>
      </w:r>
      <w:r w:rsidR="00B81A81" w:rsidRPr="00B81A81">
        <w:t xml:space="preserve"> </w:t>
      </w:r>
      <w:r w:rsidR="00B81A81">
        <w:t xml:space="preserve">for the Short-Term indicator). </w:t>
      </w:r>
    </w:p>
    <w:p w:rsidR="00B81A81" w:rsidRDefault="0023183C" w:rsidP="00B81A81">
      <w:r>
        <w:t xml:space="preserve">Futures: success rate = </w:t>
      </w:r>
      <w:r w:rsidR="00B81A81">
        <w:t xml:space="preserve">53% (compared to </w:t>
      </w:r>
      <w:r>
        <w:t>33% to 47</w:t>
      </w:r>
      <w:r w:rsidR="00B81A81">
        <w:t>%</w:t>
      </w:r>
      <w:r w:rsidR="00B81A81" w:rsidRPr="00B81A81">
        <w:t xml:space="preserve"> </w:t>
      </w:r>
      <w:r w:rsidR="00B81A81">
        <w:t xml:space="preserve">for the Short-Term indicator). </w:t>
      </w:r>
    </w:p>
    <w:p w:rsidR="00B81A81" w:rsidRDefault="0023183C" w:rsidP="00B81A81">
      <w:r>
        <w:t>FX Currencies: success rate = 27</w:t>
      </w:r>
      <w:r w:rsidR="00B81A81">
        <w:t xml:space="preserve"> to 67% (compared to 27% </w:t>
      </w:r>
      <w:r w:rsidR="00B81A81">
        <w:t xml:space="preserve">for the Short-Term indicator). </w:t>
      </w:r>
    </w:p>
    <w:p w:rsidR="00B81A81" w:rsidRDefault="00B81A81">
      <w:r>
        <w:t xml:space="preserve">We see that, for ALL types of financial securities considered (indices, stocks, futures, FX) the results with the Long-Term Alignment indicator considered here are at least as good and generally significantly better than the results obtained earlier with the Short-Term indicator which considered mainly just the fractal-type roughness of the price series in the short-term.  </w:t>
      </w:r>
    </w:p>
    <w:p w:rsidR="000F7A8F" w:rsidRDefault="00B81A81">
      <w:r>
        <w:t xml:space="preserve">For all securities, the performance of the </w:t>
      </w:r>
      <w:r w:rsidR="002719E1">
        <w:t xml:space="preserve">Long-Term </w:t>
      </w:r>
      <w:r>
        <w:t xml:space="preserve">indicator is </w:t>
      </w:r>
      <w:r w:rsidR="002719E1">
        <w:t xml:space="preserve">clearly </w:t>
      </w:r>
      <w:r>
        <w:t>better-than-random</w:t>
      </w:r>
      <w:r w:rsidR="002719E1">
        <w:t>,</w:t>
      </w:r>
      <w:r>
        <w:t xml:space="preserve"> and in the case of stocks and stock </w:t>
      </w:r>
      <w:r w:rsidR="000F7A8F">
        <w:t>i</w:t>
      </w:r>
      <w:r>
        <w:t xml:space="preserve">ndices </w:t>
      </w:r>
      <w:r w:rsidR="000F7A8F">
        <w:t>it is excellent</w:t>
      </w:r>
      <w:r w:rsidR="002719E1">
        <w:t xml:space="preserve">. This strongly </w:t>
      </w:r>
      <w:r w:rsidR="00E41C49">
        <w:t>suggests that</w:t>
      </w:r>
      <w:r w:rsidR="000F7A8F">
        <w:t xml:space="preserve"> this longer-term indicator provides excellent potential value</w:t>
      </w:r>
      <w:r w:rsidR="002719E1">
        <w:t xml:space="preserve"> even on a stand-alone basis. </w:t>
      </w:r>
      <w:r w:rsidR="000F7A8F">
        <w:t xml:space="preserve"> For currencies, the results</w:t>
      </w:r>
      <w:r w:rsidR="002719E1">
        <w:t xml:space="preserve"> were found to be </w:t>
      </w:r>
      <w:r w:rsidR="000F7A8F">
        <w:t xml:space="preserve">highly variable depending on whether the exit </w:t>
      </w:r>
      <w:r w:rsidR="002719E1">
        <w:t>was</w:t>
      </w:r>
      <w:r w:rsidR="000F7A8F">
        <w:t xml:space="preserve"> </w:t>
      </w:r>
      <w:r w:rsidR="002719E1">
        <w:t xml:space="preserve">determined </w:t>
      </w:r>
      <w:r w:rsidR="000F7A8F">
        <w:t>by the end of the</w:t>
      </w:r>
      <w:r w:rsidR="002719E1">
        <w:t xml:space="preserve"> indicator’s </w:t>
      </w:r>
      <w:r w:rsidR="000F7A8F">
        <w:t xml:space="preserve">Buy/Sell signal or by the end of the </w:t>
      </w:r>
      <w:r w:rsidR="00E41C49">
        <w:t>Hold Long</w:t>
      </w:r>
      <w:r w:rsidR="000F7A8F">
        <w:t xml:space="preserve"> / </w:t>
      </w:r>
      <w:r w:rsidR="00E41C49">
        <w:t>Hold Short</w:t>
      </w:r>
      <w:r w:rsidR="000F7A8F">
        <w:t xml:space="preserve"> signal, with latter (i.e. exit at the end of the Hold signal) appearing to be </w:t>
      </w:r>
      <w:r w:rsidR="002719E1">
        <w:t xml:space="preserve">generally </w:t>
      </w:r>
      <w:r w:rsidR="000F7A8F">
        <w:t xml:space="preserve">the better choice. </w:t>
      </w:r>
    </w:p>
    <w:p w:rsidR="00CF459D" w:rsidRDefault="000F7A8F">
      <w:r>
        <w:t>Recall that with the Short-Term indicator applied to FX</w:t>
      </w:r>
      <w:r w:rsidR="002719E1">
        <w:t xml:space="preserve"> (as documented previously)</w:t>
      </w:r>
      <w:r>
        <w:t xml:space="preserve">, results appeared favorable only in the case of JPY pairs, which was a surprising result. With the Long-Term indicator, as described here, this anomalous behavior regarding JPY </w:t>
      </w:r>
      <w:r w:rsidR="002719E1">
        <w:t>is less pronounced.</w:t>
      </w:r>
      <w:r>
        <w:t xml:space="preserve"> </w:t>
      </w:r>
    </w:p>
    <w:p w:rsidR="000F7A8F" w:rsidRDefault="000F7A8F">
      <w:r>
        <w:t xml:space="preserve">Specifically it was observed that results </w:t>
      </w:r>
      <w:r w:rsidR="00CF459D">
        <w:t xml:space="preserve">with the Long-Term (Alignment type) indicator </w:t>
      </w:r>
      <w:r w:rsidR="002719E1">
        <w:t>are as follows</w:t>
      </w:r>
      <w:r>
        <w:t>:</w:t>
      </w:r>
    </w:p>
    <w:p w:rsidR="000F7A8F" w:rsidRDefault="000F7A8F" w:rsidP="000F7A8F">
      <w:pPr>
        <w:pStyle w:val="ListParagraph"/>
        <w:numPr>
          <w:ilvl w:val="0"/>
          <w:numId w:val="4"/>
        </w:numPr>
      </w:pPr>
      <w:r>
        <w:t xml:space="preserve">Consistently NEGATIVE (i.e. un-profitable) for the following FX pairs: AUDUSD, EURAUD, EURCAD, GBPUSD, USDCAD irrespective of whether exit was made on the Buy/Sell signal or on the end of the Hold signal. </w:t>
      </w:r>
    </w:p>
    <w:p w:rsidR="00CF459D" w:rsidRDefault="00CF459D" w:rsidP="00CF459D">
      <w:pPr>
        <w:pStyle w:val="ListParagraph"/>
      </w:pPr>
    </w:p>
    <w:p w:rsidR="000F7A8F" w:rsidRDefault="000F7A8F" w:rsidP="000F7A8F">
      <w:pPr>
        <w:pStyle w:val="ListParagraph"/>
        <w:numPr>
          <w:ilvl w:val="0"/>
          <w:numId w:val="4"/>
        </w:numPr>
      </w:pPr>
      <w:r>
        <w:t xml:space="preserve"> Consistently POSITIVE (i.e. profitable) </w:t>
      </w:r>
      <w:r>
        <w:t xml:space="preserve">for the following FX pairs: </w:t>
      </w:r>
      <w:r w:rsidR="00CF459D">
        <w:t>EURUSD and USDCHF irresp</w:t>
      </w:r>
      <w:r>
        <w:t xml:space="preserve">ective of whether exit was made on the Buy/Sell signal or on the end of the Hold signal. </w:t>
      </w:r>
    </w:p>
    <w:p w:rsidR="00CF459D" w:rsidRDefault="00CF459D" w:rsidP="00CF459D">
      <w:pPr>
        <w:pStyle w:val="ListParagraph"/>
      </w:pPr>
    </w:p>
    <w:p w:rsidR="00CF459D" w:rsidRDefault="00CF459D" w:rsidP="00CF459D">
      <w:pPr>
        <w:pStyle w:val="ListParagraph"/>
        <w:numPr>
          <w:ilvl w:val="0"/>
          <w:numId w:val="4"/>
        </w:numPr>
      </w:pPr>
      <w:r>
        <w:t xml:space="preserve">Sometimes positive and sometimes negative for the remaining FX pairs: EURGBP, EURJPY, GBPJPY, NZDJPY, NZDUSD, USDJPY, XAGUSD depending on </w:t>
      </w:r>
      <w:r>
        <w:t>whether exit was made on the Buy/Sell signal or on the end of the Hold signal</w:t>
      </w:r>
      <w:r>
        <w:t xml:space="preserve">, but with exit on the end of the Hold signal generally being the better of the two choices. </w:t>
      </w:r>
      <w:r>
        <w:t xml:space="preserve"> </w:t>
      </w:r>
    </w:p>
    <w:p w:rsidR="00BE3705" w:rsidRDefault="00BE3705" w:rsidP="00CF459D">
      <w:pPr>
        <w:pStyle w:val="ListParagraph"/>
      </w:pPr>
    </w:p>
    <w:p w:rsidR="00384B1F" w:rsidRDefault="007A0909" w:rsidP="009E6C1C">
      <w:r>
        <w:t>Conclusion</w:t>
      </w:r>
      <w:r w:rsidR="00384B1F">
        <w:t>s</w:t>
      </w:r>
      <w:r w:rsidR="00CF459D">
        <w:t xml:space="preserve"> and comparison of results</w:t>
      </w:r>
      <w:r>
        <w:t xml:space="preserve">: </w:t>
      </w:r>
    </w:p>
    <w:p w:rsidR="00CF459D" w:rsidRDefault="007A0909" w:rsidP="009E6C1C">
      <w:r>
        <w:t xml:space="preserve">The </w:t>
      </w:r>
      <w:r w:rsidR="007763E8">
        <w:t>short-term part of the indicator</w:t>
      </w:r>
      <w:r w:rsidR="00CF459D">
        <w:t>,</w:t>
      </w:r>
      <w:r w:rsidR="007763E8">
        <w:t xml:space="preserve"> </w:t>
      </w:r>
      <w:r w:rsidR="00CF459D">
        <w:t>when tested alone</w:t>
      </w:r>
      <w:r w:rsidR="002719E1">
        <w:t xml:space="preserve"> (as described in separate document previously)</w:t>
      </w:r>
      <w:r w:rsidR="00CF459D">
        <w:t xml:space="preserve">, </w:t>
      </w:r>
      <w:r>
        <w:t>appear</w:t>
      </w:r>
      <w:r w:rsidR="00CF459D">
        <w:t>ed</w:t>
      </w:r>
      <w:r>
        <w:t xml:space="preserve"> to be </w:t>
      </w:r>
      <w:r w:rsidR="00CF459D">
        <w:t xml:space="preserve">clearly </w:t>
      </w:r>
      <w:r>
        <w:t xml:space="preserve">favorable for trading Stock Indices, </w:t>
      </w:r>
      <w:r w:rsidR="00CF459D">
        <w:t xml:space="preserve">and for FX </w:t>
      </w:r>
      <w:r w:rsidR="002719E1">
        <w:t>although ONLY</w:t>
      </w:r>
      <w:r w:rsidR="00CF459D">
        <w:t xml:space="preserve"> </w:t>
      </w:r>
      <w:r w:rsidR="002719E1">
        <w:t>for</w:t>
      </w:r>
      <w:r>
        <w:t xml:space="preserve"> JPY pairs</w:t>
      </w:r>
      <w:r w:rsidR="00CF459D">
        <w:t>.</w:t>
      </w:r>
    </w:p>
    <w:p w:rsidR="009E6C1C" w:rsidRDefault="00CF459D" w:rsidP="009E6C1C">
      <w:r>
        <w:lastRenderedPageBreak/>
        <w:t xml:space="preserve">The long-term part of the indicator, consistent with Apiary’s “Alignment” paper, when tested alone, was successful in 75% of all 200 cases. These results were in general significantly better than those for </w:t>
      </w:r>
      <w:r w:rsidR="007763E8">
        <w:t>the short-term part of the</w:t>
      </w:r>
      <w:r w:rsidR="007A0909">
        <w:t xml:space="preserve"> </w:t>
      </w:r>
      <w:r w:rsidR="007763E8">
        <w:t>indicator</w:t>
      </w:r>
      <w:r>
        <w:t xml:space="preserve">. </w:t>
      </w:r>
      <w:r w:rsidR="007A0909">
        <w:t xml:space="preserve">  </w:t>
      </w:r>
    </w:p>
    <w:p w:rsidR="00081E7A" w:rsidRDefault="00CF459D" w:rsidP="009E6C1C">
      <w:r>
        <w:t>Notwithstanding the generally good results</w:t>
      </w:r>
      <w:r w:rsidR="00081E7A">
        <w:t xml:space="preserve"> overall</w:t>
      </w:r>
      <w:r>
        <w:t>, there w</w:t>
      </w:r>
      <w:r w:rsidR="00081E7A">
        <w:t xml:space="preserve">as a considerable range of outcomes for FX pairs, with only EURUSD and USDCHF being unambiguously favorable, and all pairs involving JPY being at least partially favorable. </w:t>
      </w:r>
    </w:p>
    <w:p w:rsidR="00E978C2" w:rsidRDefault="00081E7A" w:rsidP="00081E7A">
      <w:r>
        <w:t xml:space="preserve">For those FX pairs that were NOT favorable, it must be noted that this test was for the indicator </w:t>
      </w:r>
      <w:r w:rsidR="00E41C49">
        <w:t>ONLY</w:t>
      </w:r>
      <w:r>
        <w:t xml:space="preserve">, not for a full trading system. Entry &amp; exits were based on the indicator signals ALONE, without using entry, trailing or TP stops. </w:t>
      </w:r>
    </w:p>
    <w:p w:rsidR="00E41C49" w:rsidRDefault="002719E1" w:rsidP="00081E7A">
      <w:r>
        <w:t xml:space="preserve">Note that actual returns have </w:t>
      </w:r>
      <w:r w:rsidR="00E41C49">
        <w:t xml:space="preserve">deliberately </w:t>
      </w:r>
      <w:r>
        <w:t>NOT been reported here</w:t>
      </w:r>
      <w:r w:rsidR="00E41C49">
        <w:t>,</w:t>
      </w:r>
      <w:r>
        <w:t xml:space="preserve"> but only “favorable” = profitable, or “not favorable” = unprofitable</w:t>
      </w:r>
      <w:r w:rsidR="00E41C49">
        <w:t xml:space="preserve"> = loss-producing, as we are currently testing only the viability of the indicator alone, rather than the function </w:t>
      </w:r>
      <w:bookmarkStart w:id="0" w:name="_GoBack"/>
      <w:bookmarkEnd w:id="0"/>
      <w:r w:rsidR="00E41C49">
        <w:t xml:space="preserve">of a full trading system.  </w:t>
      </w:r>
    </w:p>
    <w:p w:rsidR="00E41C49" w:rsidRDefault="00E41C49" w:rsidP="00E41C49">
      <w:r>
        <w:t xml:space="preserve">Based on results so far, both Part1 (Short-Term) and Part 2 (Long-Term) indicator components appear to be potentially viable and to deserve further consideration. </w:t>
      </w:r>
      <w:r>
        <w:t xml:space="preserve">The next step will </w:t>
      </w:r>
      <w:r>
        <w:t xml:space="preserve">therefore </w:t>
      </w:r>
      <w:r>
        <w:t>be the combination of both the Short-Term (Part1) and the Longer-Term (Part 2 = Alignment) components of the indicator</w:t>
      </w:r>
      <w:r>
        <w:t xml:space="preserve"> as planned</w:t>
      </w:r>
      <w:r>
        <w:t>.</w:t>
      </w:r>
    </w:p>
    <w:p w:rsidR="002719E1" w:rsidRDefault="002719E1" w:rsidP="00081E7A"/>
    <w:sectPr w:rsidR="002719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4FE7"/>
    <w:multiLevelType w:val="hybridMultilevel"/>
    <w:tmpl w:val="F606C444"/>
    <w:lvl w:ilvl="0" w:tplc="F9B425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7B3B"/>
    <w:multiLevelType w:val="hybridMultilevel"/>
    <w:tmpl w:val="64601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20837"/>
    <w:multiLevelType w:val="hybridMultilevel"/>
    <w:tmpl w:val="9F367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F45"/>
    <w:multiLevelType w:val="hybridMultilevel"/>
    <w:tmpl w:val="5B44B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5"/>
    <w:rsid w:val="000149E1"/>
    <w:rsid w:val="00054618"/>
    <w:rsid w:val="00081E7A"/>
    <w:rsid w:val="000F7A8F"/>
    <w:rsid w:val="001674A6"/>
    <w:rsid w:val="001F43DD"/>
    <w:rsid w:val="0023183C"/>
    <w:rsid w:val="00240ED3"/>
    <w:rsid w:val="00261887"/>
    <w:rsid w:val="002719E1"/>
    <w:rsid w:val="00294056"/>
    <w:rsid w:val="002B7F5D"/>
    <w:rsid w:val="002D5E9F"/>
    <w:rsid w:val="002E2DD7"/>
    <w:rsid w:val="00322872"/>
    <w:rsid w:val="00347A15"/>
    <w:rsid w:val="00384B1F"/>
    <w:rsid w:val="004B5583"/>
    <w:rsid w:val="00527860"/>
    <w:rsid w:val="00574937"/>
    <w:rsid w:val="005A18E5"/>
    <w:rsid w:val="00621188"/>
    <w:rsid w:val="00720BFC"/>
    <w:rsid w:val="007239FE"/>
    <w:rsid w:val="007763E8"/>
    <w:rsid w:val="00795750"/>
    <w:rsid w:val="007A0909"/>
    <w:rsid w:val="007C4180"/>
    <w:rsid w:val="00823424"/>
    <w:rsid w:val="00892F65"/>
    <w:rsid w:val="008D2A2A"/>
    <w:rsid w:val="009B10D5"/>
    <w:rsid w:val="009D273F"/>
    <w:rsid w:val="009E6C1C"/>
    <w:rsid w:val="00A6195A"/>
    <w:rsid w:val="00A63FC4"/>
    <w:rsid w:val="00AB7AFE"/>
    <w:rsid w:val="00AC3079"/>
    <w:rsid w:val="00B475C2"/>
    <w:rsid w:val="00B81A81"/>
    <w:rsid w:val="00B92BC9"/>
    <w:rsid w:val="00BD1684"/>
    <w:rsid w:val="00BE0ACB"/>
    <w:rsid w:val="00BE3705"/>
    <w:rsid w:val="00C01F1F"/>
    <w:rsid w:val="00CF459D"/>
    <w:rsid w:val="00D621A5"/>
    <w:rsid w:val="00D82AEF"/>
    <w:rsid w:val="00DD215B"/>
    <w:rsid w:val="00E10E9F"/>
    <w:rsid w:val="00E41C49"/>
    <w:rsid w:val="00E971C9"/>
    <w:rsid w:val="00E978C2"/>
    <w:rsid w:val="00F5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</dc:creator>
  <cp:keywords/>
  <dc:description/>
  <cp:lastModifiedBy>TonyM</cp:lastModifiedBy>
  <cp:revision>23</cp:revision>
  <dcterms:created xsi:type="dcterms:W3CDTF">2018-11-10T13:38:00Z</dcterms:created>
  <dcterms:modified xsi:type="dcterms:W3CDTF">2018-11-11T17:10:00Z</dcterms:modified>
</cp:coreProperties>
</file>